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CB885">
      <w:pPr>
        <w:spacing w:after="0" w:line="360" w:lineRule="auto"/>
        <w:jc w:val="center"/>
        <w:outlineLvl w:val="0"/>
        <w:rPr>
          <w:rFonts w:hint="eastAsia" w:ascii="宋体" w:hAnsi="宋体" w:cs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用户需求书</w:t>
      </w:r>
    </w:p>
    <w:p w14:paraId="6E7ABE48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一、服务名称</w:t>
      </w:r>
    </w:p>
    <w:p w14:paraId="29625DA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海南热带海洋学院三亚校区病媒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防制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项目（2025年-2028年）</w:t>
      </w:r>
    </w:p>
    <w:p w14:paraId="255A66A7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二、预算费用</w:t>
      </w:r>
    </w:p>
    <w:p w14:paraId="5F52AF4E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57万元（19万元/年）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66FDB33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三、服务期限</w:t>
      </w:r>
    </w:p>
    <w:p w14:paraId="713D91E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三年。</w:t>
      </w:r>
    </w:p>
    <w:p w14:paraId="30F6056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四、项目概况</w:t>
      </w:r>
    </w:p>
    <w:p w14:paraId="7DD3D77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项目名称：海南热带海洋学院三亚校区病媒生物</w:t>
      </w:r>
      <w:r>
        <w:rPr>
          <w:rFonts w:hint="eastAsia" w:ascii="宋体" w:hAnsi="宋体" w:cs="宋体"/>
          <w:sz w:val="24"/>
          <w:szCs w:val="24"/>
          <w:lang w:eastAsia="zh-CN"/>
        </w:rPr>
        <w:t>防制</w:t>
      </w:r>
      <w:r>
        <w:rPr>
          <w:rFonts w:hint="eastAsia" w:ascii="宋体" w:hAnsi="宋体" w:eastAsia="宋体" w:cs="宋体"/>
          <w:sz w:val="24"/>
          <w:szCs w:val="24"/>
        </w:rPr>
        <w:t>项目（2025-2028年度）。三亚校区病媒生物</w:t>
      </w:r>
      <w:r>
        <w:rPr>
          <w:rFonts w:hint="eastAsia" w:ascii="宋体" w:hAnsi="宋体" w:cs="宋体"/>
          <w:sz w:val="24"/>
          <w:szCs w:val="24"/>
          <w:lang w:eastAsia="zh-CN"/>
        </w:rPr>
        <w:t>防制</w:t>
      </w:r>
      <w:r>
        <w:rPr>
          <w:rFonts w:hint="eastAsia" w:ascii="宋体" w:hAnsi="宋体" w:eastAsia="宋体" w:cs="宋体"/>
          <w:sz w:val="24"/>
          <w:szCs w:val="24"/>
        </w:rPr>
        <w:t>工作服务项目将到期，为保证三亚校区的生物病媒工作达标，需聘请专业公司来负责三亚校区的生物病媒</w:t>
      </w:r>
      <w:r>
        <w:rPr>
          <w:rFonts w:hint="eastAsia" w:ascii="宋体" w:hAnsi="宋体" w:cs="宋体"/>
          <w:sz w:val="24"/>
          <w:szCs w:val="24"/>
          <w:lang w:eastAsia="zh-CN"/>
        </w:rPr>
        <w:t>防制</w:t>
      </w:r>
      <w:r>
        <w:rPr>
          <w:rFonts w:hint="eastAsia" w:ascii="宋体" w:hAnsi="宋体" w:eastAsia="宋体" w:cs="宋体"/>
          <w:sz w:val="24"/>
          <w:szCs w:val="24"/>
        </w:rPr>
        <w:t>工作。</w:t>
      </w:r>
    </w:p>
    <w:p w14:paraId="4245DD0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OLE_LINK4"/>
      <w:bookmarkStart w:id="1" w:name="OLE_LINK3"/>
      <w:r>
        <w:rPr>
          <w:rFonts w:hint="eastAsia" w:ascii="宋体" w:hAnsi="宋体" w:eastAsia="宋体" w:cs="宋体"/>
          <w:sz w:val="24"/>
          <w:szCs w:val="24"/>
        </w:rPr>
        <w:t>项目服务范围：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三亚校区行政办公楼、图书馆、体育馆、教学楼3-9栋、学生宿舍楼外部周边、教师村周边及校园公共绿化区等校内现已竣工区域（除留学生公寓、专家公寓、东盟楼外全部约30万平方米）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13B24C3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服务内容：控制老鼠、苍蝇、蚊子、蟑螂密度；协助配合学校做好病媒</w:t>
      </w:r>
      <w:r>
        <w:rPr>
          <w:rFonts w:hint="eastAsia" w:ascii="宋体" w:hAnsi="宋体" w:cs="宋体"/>
          <w:sz w:val="24"/>
          <w:szCs w:val="24"/>
          <w:lang w:eastAsia="zh-CN"/>
        </w:rPr>
        <w:t>防制</w:t>
      </w:r>
      <w:r>
        <w:rPr>
          <w:rFonts w:hint="eastAsia" w:ascii="宋体" w:hAnsi="宋体" w:eastAsia="宋体" w:cs="宋体"/>
          <w:sz w:val="24"/>
          <w:szCs w:val="24"/>
        </w:rPr>
        <w:t>基本工作；每月四次全面消杀，如遇特殊虫情，必须在接到通知后及时安排人员到场消杀处理；病媒生物</w:t>
      </w:r>
      <w:r>
        <w:rPr>
          <w:rFonts w:hint="eastAsia" w:ascii="宋体" w:hAnsi="宋体" w:cs="宋体"/>
          <w:sz w:val="24"/>
          <w:szCs w:val="24"/>
          <w:lang w:eastAsia="zh-CN"/>
        </w:rPr>
        <w:t>防制</w:t>
      </w:r>
      <w:r>
        <w:rPr>
          <w:rFonts w:hint="eastAsia" w:ascii="宋体" w:hAnsi="宋体" w:eastAsia="宋体" w:cs="宋体"/>
          <w:sz w:val="24"/>
          <w:szCs w:val="24"/>
        </w:rPr>
        <w:t xml:space="preserve">宣传、知识培训等。 </w:t>
      </w:r>
    </w:p>
    <w:p w14:paraId="157194B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控制目标：服务区域病媒</w:t>
      </w:r>
      <w:r>
        <w:rPr>
          <w:rFonts w:hint="eastAsia" w:ascii="宋体" w:hAnsi="宋体" w:cs="宋体"/>
          <w:sz w:val="24"/>
          <w:szCs w:val="24"/>
          <w:lang w:eastAsia="zh-CN"/>
        </w:rPr>
        <w:t>防制</w:t>
      </w:r>
      <w:r>
        <w:rPr>
          <w:rFonts w:hint="eastAsia" w:ascii="宋体" w:hAnsi="宋体" w:eastAsia="宋体" w:cs="宋体"/>
          <w:sz w:val="24"/>
          <w:szCs w:val="24"/>
        </w:rPr>
        <w:t xml:space="preserve">工作达到国标C级标准（含）以上。 </w:t>
      </w:r>
      <w:bookmarkEnd w:id="0"/>
      <w:bookmarkEnd w:id="1"/>
    </w:p>
    <w:p w14:paraId="3CB5A65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 w14:paraId="13E2CAF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 w14:paraId="4543500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306" w:leftChars="139"/>
        <w:textAlignment w:val="auto"/>
        <w:rPr>
          <w:rFonts w:hint="eastAsia" w:ascii="宋体" w:hAnsi="宋体" w:eastAsia="宋体" w:cs="宋体"/>
          <w:b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技术要求</w:t>
      </w:r>
    </w:p>
    <w:p w14:paraId="3398CEC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1.技术规格、参数及要求</w:t>
      </w:r>
    </w:p>
    <w:tbl>
      <w:tblPr>
        <w:tblStyle w:val="5"/>
        <w:tblW w:w="102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564"/>
        <w:gridCol w:w="7951"/>
      </w:tblGrid>
      <w:tr w14:paraId="39786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92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FB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品目名称</w:t>
            </w:r>
          </w:p>
        </w:tc>
        <w:tc>
          <w:tcPr>
            <w:tcW w:w="38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11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技术规格、参数及要求</w:t>
            </w:r>
          </w:p>
        </w:tc>
      </w:tr>
      <w:tr w14:paraId="60BFC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09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72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控制目标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3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A7AD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服务区域病媒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防制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工作达到国标C级标准（含）以上（提供承诺函并加盖公章）</w:t>
            </w:r>
          </w:p>
        </w:tc>
      </w:tr>
      <w:tr w14:paraId="097E9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3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36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3A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药品要求★</w:t>
            </w:r>
          </w:p>
        </w:tc>
        <w:tc>
          <w:tcPr>
            <w:tcW w:w="3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BF4F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病媒生物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防制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所用药物必须是国家有关主管部门批准生产（农药登记证、农药生产批准证书、企业生产标准）的卫生杀虫剂的合格产品。严禁使用农用杀虫剂、国家违禁药品等用于病媒生物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防制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工作（提供承诺函加盖公章）。</w:t>
            </w:r>
          </w:p>
        </w:tc>
      </w:tr>
      <w:tr w14:paraId="04316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B2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DC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执行标准★</w:t>
            </w:r>
          </w:p>
        </w:tc>
        <w:tc>
          <w:tcPr>
            <w:tcW w:w="3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FD27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病媒生物综合管理技术规范 城镇（GB/T27775-2011）、全国爱国卫生运动委员会、国家卫生健康委印发的《病媒生物预防控制管理规定》、病媒生物密度控制水平 鼠类（GB/T 27770-2011）、病媒生物密度控制水平 蚊虫（GB/T 27770-2011）、病媒生物密度控制水平 蝇类GB/T 27770-2011）、病媒生物密度控制水平 蜚蠊GB/T 27770-2011）等内容。（提供承诺函加盖公章）</w:t>
            </w:r>
          </w:p>
        </w:tc>
      </w:tr>
      <w:tr w14:paraId="120E8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64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FD87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防制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要求</w:t>
            </w:r>
          </w:p>
          <w:p w14:paraId="113F314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0C2060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D522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（一）病媒生物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防制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宣传：专业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防制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公司应在全面开展病媒生物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防制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工作前和工作中，配合学校开展预防控制知识和专业技术宣传教育。提高病媒生物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防制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工作参与面，使广大师生更加熟悉了解病媒生物危害与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防制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知识，更加积极地参与到日常病媒生物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防制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工作。</w:t>
            </w:r>
          </w:p>
          <w:p w14:paraId="6C13D2A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（二）病媒生物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防制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知识培训：为不断提高校园病媒生物防控技术和管理水平，专业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防制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公司应对学生和教职工每年至少进行一次病媒生物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防制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知识培训。通过培训增强在校师生对虫害的认识，提高预防虫害能力。</w:t>
            </w:r>
          </w:p>
          <w:p w14:paraId="6C63900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（三）病媒生物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防制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措施要求</w:t>
            </w:r>
          </w:p>
          <w:p w14:paraId="5E44C8C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1.作业要求：（1）▲实施杀灭作业前，必须先到现场调查病媒生物的基本情况、记录详细，对病媒生物的种类、栖息部位、密度状况及孳生环境等情况有全面的了解，因地制宜地制定合理的害虫综合控制方案。</w:t>
            </w:r>
          </w:p>
          <w:p w14:paraId="6830520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（2）根据控制方案备好药品器械和个人防护用品。</w:t>
            </w:r>
          </w:p>
          <w:p w14:paraId="493FB03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（3）实施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防制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作业，应遵守安全操作规定，合理用药，施药到位，保证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防制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效果，并防止药品污染环境。</w:t>
            </w:r>
          </w:p>
          <w:p w14:paraId="06F833B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（4）根据卫生害虫种类和有关规定，定期进行虫害密度监测和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防制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效果监测，监测资料及时统计、分析上报学校相关部门，并归档保存。</w:t>
            </w:r>
          </w:p>
          <w:p w14:paraId="65468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（5）▲消杀次数要求。中标人每月对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防制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区域组织全面消杀四次（含四次）以上，如遇到学校投诉或特殊虫情，必须在接到通知后24小时内安排人员到场消杀解决。</w:t>
            </w:r>
          </w:p>
          <w:p w14:paraId="0B8C5CF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2.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▲人员要求：专业公司应配备足额的防制技术人员，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满足日常病媒生物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防制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工作需求，重点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防制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区域应有专人负责，且从事病媒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防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服务的从业人员应取得有害生物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防制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员证书，并统一着装，持证上岗，文明服务，提供相应证书资格证明。</w:t>
            </w:r>
          </w:p>
          <w:p w14:paraId="18601BD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防制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方法要求：专业公司在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防制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方法上应坚持“环境治理为主，化学和物理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防制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方法为辅的综合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防制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”方针，按照专业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防制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和群众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防制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相结合、日常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防制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和集中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防制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相结合的原则，发动广大在校师生搞好室内外卫生，及时清除卫生死角和病媒生物孳生地，科学开展病媒生物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防制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工作。</w:t>
            </w:r>
          </w:p>
          <w:p w14:paraId="504DE2A1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4.资料整理要求：专业公司每月工作结束前，应及时将下月病媒生物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防制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工作计划报送相关监督部门，认真开展下月病媒生物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防制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工作。专业公司的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防制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技术人员每天的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防制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工作结束后应认真填写《病媒生物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防制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施工记录单》交由甲方签字确认，卫生保健中心、基建与后勤管理处及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防制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公司各一份，保存备查。</w:t>
            </w:r>
          </w:p>
          <w:p w14:paraId="18BDF6F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5.“四防”设施建设要求：专业公司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防制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和指导学校各部门积极维护和建设好本部门的“四防”设施。</w:t>
            </w:r>
          </w:p>
        </w:tc>
      </w:tr>
    </w:tbl>
    <w:p w14:paraId="00A3B5D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306" w:leftChars="139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24"/>
          <w:szCs w:val="24"/>
        </w:rPr>
        <w:t>、商务要求</w:t>
      </w:r>
    </w:p>
    <w:p w14:paraId="7029F08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（一）服务期限</w:t>
      </w:r>
    </w:p>
    <w:p w14:paraId="140C4C2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服务期限</w:t>
      </w:r>
      <w:r>
        <w:rPr>
          <w:rFonts w:hint="eastAsia" w:ascii="宋体" w:hAnsi="宋体" w:cs="宋体"/>
          <w:sz w:val="24"/>
          <w:szCs w:val="24"/>
          <w:lang w:eastAsia="zh-CN"/>
        </w:rPr>
        <w:t>：自合同签订之日起3年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3AFA4E8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（二）验收要求：                                                        </w:t>
      </w:r>
    </w:p>
    <w:p w14:paraId="3810B6E8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1.验收人员：包括：①甲方，②校内外专家或其委托的第三方机构（如监理公司、评估机构等），③乙方等，具体参与人员以甲方最终确认为准。</w:t>
      </w:r>
    </w:p>
    <w:p w14:paraId="571DBC74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2.履约验收时间：双方签订合同后每个季度由各职能部门进行验收。                                   </w:t>
      </w:r>
    </w:p>
    <w:p w14:paraId="046A9356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3.履约验收方式：按招标文件、乙方投标文件和本合同规定标准进行验收。 </w:t>
      </w:r>
    </w:p>
    <w:p w14:paraId="09445CCE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4.履约验收程序：每季度由各职能部门进行季度检查，然后由物业主管部门汇总结果。 </w:t>
      </w:r>
    </w:p>
    <w:p w14:paraId="57A9CD40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5.履约验收内容：对应乙方的投标文件的技术和商务、人员要求等，结合甲方招标文件要求的标准为准则。</w:t>
      </w:r>
    </w:p>
    <w:p w14:paraId="71316A20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6.履约验收标准：按照《海南热带海洋学院三亚校区病媒生物</w:t>
      </w:r>
      <w:r>
        <w:rPr>
          <w:rFonts w:hint="eastAsia" w:ascii="宋体" w:hAnsi="宋体" w:cs="宋体"/>
          <w:sz w:val="24"/>
          <w:szCs w:val="24"/>
          <w:lang w:eastAsia="zh-CN"/>
        </w:rPr>
        <w:t>防制</w:t>
      </w:r>
      <w:r>
        <w:rPr>
          <w:rFonts w:hint="eastAsia" w:ascii="宋体" w:hAnsi="宋体" w:eastAsia="宋体" w:cs="宋体"/>
          <w:sz w:val="24"/>
          <w:szCs w:val="24"/>
        </w:rPr>
        <w:t>项目（2025-2028年度）考核办法及检查标准》执行。</w:t>
      </w:r>
    </w:p>
    <w:p w14:paraId="29602DFD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7.乙方需为验收提供必需的一切条件及相关费用，并提供本项目的相关文档和验收所需资料，积极配合甲方完成验收工作。</w:t>
      </w:r>
    </w:p>
    <w:p w14:paraId="2BD640F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（三）服务费用及付款方式</w:t>
      </w:r>
    </w:p>
    <w:p w14:paraId="46C24CD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1.服务费用：合同总价为人民币    （大写：元整），年服务费：    ，月服务费：      。合同价格按此次中标价格执行，人民币为￥    元（大写：元整）。合同总价包括管理费、人员费用（含工资、奖金、社保及教育培训、暂住费用、处理一切伤亡事故等费用）、税收、生产资料（各种消杀器械及其耗损）等一切费用。采用全包干形式，即业务包干、经费包干。</w:t>
      </w:r>
    </w:p>
    <w:p w14:paraId="11BDBC6E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⑴本费用不包含“三防”设施设备的投入，如需要增加购买，费用另行计算。⑵因特殊疫情等情况有需要进行室内环境消杀，如办公区、学生宿舍区或教职工住宅区，每季度室内消杀数量累计三十间以下的，乙方免费进行消杀，如超过三十间或特殊疫情需要大面积进行室内消杀，费用另行商议。</w:t>
      </w:r>
    </w:p>
    <w:p w14:paraId="1B086EE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合同生效后，服务费按季度结算。乙方在完成每季度服务经甲方确认达标后，甲方向乙方出具签署季度服务意见的季度考核评分表，乙方应根据考核情况具正规服务发票，甲方在收到等额发票后，十五个工作日内以转账方式将上季度款项支付给乙方（如乙方提供服务不足一个季度时，按月计算，不足一个月时按日计算）。若遇甲方财政资金未及时到位、财政封账及寒暑假等原因，支付期限可相应顺延，且不承担任何责任。</w:t>
      </w:r>
    </w:p>
    <w:p w14:paraId="1EE935B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乙方确保其在本合同内指定的银行账户信息正确无误，如因乙方提供账户信息有误导致甲方不能及时付款或者转账错误，不视为甲方违约，产生的一切责任均由乙方自行承担。乙方收款账号若有变更，须在7日内以书面方式通知甲方，由乙方授权代表签字（或盖私章）并加盖乙方公章。</w:t>
      </w:r>
    </w:p>
    <w:p w14:paraId="79E9ADA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4.按规定或约定，乙方应承担的违约金、赔偿款等，甲方有权从应付给乙方的合同款中扣除，如仍有不足扣除的，乙方应在收到甲方通知后5日内予以补足。</w:t>
      </w:r>
    </w:p>
    <w:p w14:paraId="15A52AF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（四）奖惩机制</w:t>
      </w:r>
    </w:p>
    <w:p w14:paraId="7E249251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1.甲方对乙方的物业管理服务质量进行考核及季度扣罚，以季度为单位进行考核，上季的扣罚费用在下季的服务费内进行扣减。</w:t>
      </w:r>
    </w:p>
    <w:p w14:paraId="4CDF8CD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2.每季度物业管理费用＝中标合同金额合计÷物业管理服务的季度数-根据考核情况需要减值的部分费用。</w:t>
      </w:r>
    </w:p>
    <w:p w14:paraId="1BFA173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3.承包期间，遇国家、省、市、区和第三方专业评估机构任何一方或联合组织的检查、验收，病媒生物密度达不到国家标准《病媒生物密度控制水平 鼠类》(GB/T27770-2011)《病媒生物密度控制水平 蚊虫》(GB/T27771-2011)《病媒生物密度控制水平蝇类》(GB/T27772-2011)《病媒生物密度控制水平蜚蠊》（GB/T27773-2011）情况，乙方支付相应违约金，具体如下：</w:t>
      </w:r>
    </w:p>
    <w:p w14:paraId="73F0E8F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鼠、蚊、蝇、蜚蠊四项生物密度检测中其中一项达不到国家标准的，支付人民币1000元违约金，并规定在10天内达标。</w:t>
      </w:r>
    </w:p>
    <w:p w14:paraId="4582FCC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鼠、蚊、蝇、蜚蠊四项生物密度检测中其中二项达不到国家标准的，支付人民币2000元违约金，并规定在10天内达标。</w:t>
      </w:r>
    </w:p>
    <w:p w14:paraId="787CDCB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鼠、蚊、蝇、蜚蠊四项生物密度检测中其中三项达不到国家标准的，支付人民币3000元违约金，并规定在10天内达标。⑷鼠、蚊、蝇、蜚蠊四项生物密度检测中其中四项达不到国家标准的，支付人民币4000元违约金，并规定在10天内达标。如乙方未在规定时间内达标，甲方有权解除合同，并要求乙方退还剩余未使用服务期间的服务费，乙方还需向甲方支付合同总金额的20%作为违约金。 </w:t>
      </w:r>
    </w:p>
    <w:p w14:paraId="7A645278">
      <w:r>
        <w:rPr>
          <w:rFonts w:hint="eastAsia" w:ascii="宋体" w:hAnsi="宋体" w:eastAsia="宋体" w:cs="宋体"/>
          <w:sz w:val="24"/>
          <w:szCs w:val="24"/>
        </w:rPr>
        <w:t>4.因乙方在物业服务工作中失职或服务不达标，给甲方造成人员伤害或财产损失，乙方承担由此造成的全部责任。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B5C41"/>
    <w:rsid w:val="18955EF4"/>
    <w:rsid w:val="2E6A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="Arial Unicode MS" w:hAnsi="Arial Unicode MS" w:eastAsia="宋体" w:cs="Arial Unicode MS"/>
      <w:color w:val="000000"/>
      <w:sz w:val="22"/>
      <w:szCs w:val="22"/>
      <w:u w:val="none" w:color="000000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widowControl w:val="0"/>
      <w:spacing w:before="240" w:beforeLines="0" w:after="120" w:afterLines="0" w:line="300" w:lineRule="auto"/>
      <w:jc w:val="center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99"/>
    <w:pPr>
      <w:spacing w:after="120" w:afterLines="0"/>
      <w:ind w:left="200" w:leftChars="200"/>
    </w:pPr>
    <w:rPr>
      <w:rFonts w:ascii="Verdana" w:hAnsi="Verdana"/>
      <w:lang w:eastAsia="en-US"/>
    </w:rPr>
  </w:style>
  <w:style w:type="character" w:customStyle="1" w:styleId="7">
    <w:name w:val="标题 1 Char"/>
    <w:link w:val="2"/>
    <w:autoRedefine/>
    <w:qFormat/>
    <w:uiPriority w:val="0"/>
    <w:rPr>
      <w:rFonts w:cs="Times New Roman"/>
      <w:b/>
      <w:bCs/>
      <w:kern w:val="44"/>
      <w:sz w:val="44"/>
      <w:szCs w:val="44"/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9">
    <w:name w:val="List Paragraph"/>
    <w:basedOn w:val="1"/>
    <w:autoRedefine/>
    <w:qFormat/>
    <w:uiPriority w:val="0"/>
    <w:pPr>
      <w:widowControl w:val="0"/>
      <w:spacing w:after="0" w:afterLines="0"/>
      <w:ind w:firstLine="420" w:firstLineChars="200"/>
      <w:jc w:val="both"/>
    </w:pPr>
    <w:rPr>
      <w:rFonts w:ascii="Calibri" w:hAnsi="Calibri" w:cs="Times New Roman"/>
      <w:color w:val="auto"/>
      <w:kern w:val="2"/>
      <w:sz w:val="21"/>
    </w:rPr>
  </w:style>
  <w:style w:type="paragraph" w:customStyle="1" w:styleId="10">
    <w:name w:val="列出段落1"/>
    <w:basedOn w:val="1"/>
    <w:autoRedefine/>
    <w:qFormat/>
    <w:uiPriority w:val="1"/>
    <w:pPr>
      <w:spacing w:after="0" w:line="240" w:lineRule="auto"/>
      <w:ind w:left="0" w:right="0" w:firstLine="420" w:firstLineChars="200"/>
    </w:pPr>
    <w:rPr>
      <w:rFonts w:ascii="Times New Roman" w:hAnsi="Times New Roman" w:cs="Times New Roman"/>
      <w:color w:val="auto"/>
      <w:kern w:val="0"/>
      <w:sz w:val="21"/>
      <w:szCs w:val="20"/>
    </w:rPr>
  </w:style>
  <w:style w:type="paragraph" w:customStyle="1" w:styleId="11">
    <w:name w:val="正文_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3233</Words>
  <Characters>3420</Characters>
  <Lines>0</Lines>
  <Paragraphs>0</Paragraphs>
  <TotalTime>2</TotalTime>
  <ScaleCrop>false</ScaleCrop>
  <LinksUpToDate>false</LinksUpToDate>
  <CharactersWithSpaces>3549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2025-09-15T03:42:00Z</dcterms:created>
  <dc:creator>HUAWEI</dc:creator>
  <cp:lastModifiedBy>蓝天</cp:lastModifiedBy>
  <dcterms:modified xsi:type="dcterms:W3CDTF">2025-09-15T03:48:26Z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eyJoZGlkIjoiNGY3MjczNTMxNWVmYThjODE3ZDA4MDY3ZWZkMWNiZjAiLCJ1c2VySWQiOiI2ODAyMTcxNDIifQ==</vt:lpwstr>
  </property>
  <property fmtid="{D5CDD505-2E9C-101B-9397-08002B2CF9AE}" pid="4" name="ICV">
    <vt:lpwstr>341085E0EEAD4D6BBA030DDF0F44D4CB_12</vt:lpwstr>
  </property>
</Properties>
</file>