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F027F">
      <w:pPr>
        <w:pStyle w:val="2"/>
        <w:spacing w:line="560" w:lineRule="exact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附件4</w:t>
      </w:r>
      <w:r>
        <w:rPr>
          <w:rFonts w:hint="eastAsia"/>
          <w:sz w:val="24"/>
          <w:szCs w:val="24"/>
        </w:rPr>
        <w:t>：</w:t>
      </w:r>
    </w:p>
    <w:p w14:paraId="085468D4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海南热带海洋学院</w:t>
      </w:r>
      <w:r>
        <w:rPr>
          <w:rFonts w:hint="eastAsia"/>
          <w:b/>
          <w:bCs/>
          <w:sz w:val="28"/>
          <w:szCs w:val="28"/>
        </w:rPr>
        <w:t>三亚校区教学科研与学术交流项目</w:t>
      </w:r>
    </w:p>
    <w:p w14:paraId="454DB05E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申请地方政府专项债承办银行比选项目</w:t>
      </w:r>
    </w:p>
    <w:p w14:paraId="78504E5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评分标准</w:t>
      </w:r>
    </w:p>
    <w:tbl>
      <w:tblPr>
        <w:tblStyle w:val="7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900"/>
        <w:gridCol w:w="7167"/>
      </w:tblGrid>
      <w:tr w14:paraId="2B5C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852" w:type="dxa"/>
            <w:noWrap w:val="0"/>
            <w:vAlign w:val="center"/>
          </w:tcPr>
          <w:p w14:paraId="164CEC30">
            <w:pPr>
              <w:pStyle w:val="6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评分因素</w:t>
            </w:r>
          </w:p>
        </w:tc>
        <w:tc>
          <w:tcPr>
            <w:tcW w:w="900" w:type="dxa"/>
            <w:noWrap w:val="0"/>
            <w:vAlign w:val="center"/>
          </w:tcPr>
          <w:p w14:paraId="1437A613">
            <w:pPr>
              <w:pStyle w:val="6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分值</w:t>
            </w:r>
          </w:p>
        </w:tc>
        <w:tc>
          <w:tcPr>
            <w:tcW w:w="7167" w:type="dxa"/>
            <w:noWrap w:val="0"/>
            <w:vAlign w:val="center"/>
          </w:tcPr>
          <w:p w14:paraId="52EACC1C">
            <w:pPr>
              <w:pStyle w:val="6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评审细则</w:t>
            </w:r>
          </w:p>
        </w:tc>
      </w:tr>
      <w:tr w14:paraId="4A04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852" w:type="dxa"/>
            <w:noWrap w:val="0"/>
            <w:vAlign w:val="center"/>
          </w:tcPr>
          <w:p w14:paraId="7AF8D317">
            <w:pPr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阐述专项债成功申报案例</w:t>
            </w:r>
          </w:p>
        </w:tc>
        <w:tc>
          <w:tcPr>
            <w:tcW w:w="900" w:type="dxa"/>
            <w:noWrap w:val="0"/>
            <w:vAlign w:val="center"/>
          </w:tcPr>
          <w:p w14:paraId="54869C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20分</w:t>
            </w:r>
          </w:p>
        </w:tc>
        <w:tc>
          <w:tcPr>
            <w:tcW w:w="7167" w:type="dxa"/>
            <w:noWrap w:val="0"/>
            <w:vAlign w:val="center"/>
          </w:tcPr>
          <w:p w14:paraId="4B19981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阐述</w:t>
            </w:r>
            <w:r>
              <w:rPr>
                <w:rFonts w:hint="eastAsia" w:ascii="宋体" w:hAnsi="宋体" w:cs="宋体"/>
                <w:kern w:val="0"/>
                <w:sz w:val="24"/>
              </w:rPr>
              <w:t>2020年以来所承办的地方政府专项债贷款业绩清单中典型案例2个，每个案例得8分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，最高得16分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 w14:paraId="0BD3B8B1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若所阐述的案例为相关高校地方专项债申请案例，每个案例得2分，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最高得4分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733B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852" w:type="dxa"/>
            <w:noWrap w:val="0"/>
            <w:vAlign w:val="center"/>
          </w:tcPr>
          <w:p w14:paraId="0E073420">
            <w:pPr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阐述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专项债业务申请全流程</w:t>
            </w:r>
          </w:p>
        </w:tc>
        <w:tc>
          <w:tcPr>
            <w:tcW w:w="900" w:type="dxa"/>
            <w:noWrap w:val="0"/>
            <w:vAlign w:val="center"/>
          </w:tcPr>
          <w:p w14:paraId="6729DA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20分</w:t>
            </w:r>
          </w:p>
        </w:tc>
        <w:tc>
          <w:tcPr>
            <w:tcW w:w="7167" w:type="dxa"/>
            <w:noWrap w:val="0"/>
            <w:vAlign w:val="center"/>
          </w:tcPr>
          <w:p w14:paraId="0526DC8E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对申请专项债业务流程进行阐述：</w:t>
            </w:r>
          </w:p>
          <w:p w14:paraId="481D62FC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流程完整、思路清晰、符合流程规范等（15-20分）；</w:t>
            </w:r>
          </w:p>
          <w:p w14:paraId="16888A7F"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流程存在缺失、思路不明确、操作规范有偏差（8-14分）；</w:t>
            </w:r>
          </w:p>
          <w:p w14:paraId="165D0038"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流程错误、思路混乱、不符合流程规范（0-7分）。</w:t>
            </w:r>
          </w:p>
        </w:tc>
      </w:tr>
      <w:tr w14:paraId="2751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852" w:type="dxa"/>
            <w:noWrap w:val="0"/>
            <w:vAlign w:val="center"/>
          </w:tcPr>
          <w:p w14:paraId="3E7D2EAF">
            <w:pPr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阐述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专项债申请相关政策法规及针对本项目适用法规</w:t>
            </w:r>
          </w:p>
        </w:tc>
        <w:tc>
          <w:tcPr>
            <w:tcW w:w="900" w:type="dxa"/>
            <w:noWrap w:val="0"/>
            <w:vAlign w:val="center"/>
          </w:tcPr>
          <w:p w14:paraId="0CA09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10分</w:t>
            </w:r>
          </w:p>
        </w:tc>
        <w:tc>
          <w:tcPr>
            <w:tcW w:w="7167" w:type="dxa"/>
            <w:noWrap w:val="0"/>
            <w:vAlign w:val="center"/>
          </w:tcPr>
          <w:p w14:paraId="01B8AB3E"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对专项债申请相关政策法规及针对本项目适用法规进行阐述：</w:t>
            </w:r>
          </w:p>
          <w:p w14:paraId="2B96FD7A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适用专项债项目申请、法规解析明了、覆盖全面（8-10分）；</w:t>
            </w:r>
          </w:p>
          <w:p w14:paraId="4FD860BB">
            <w:pPr>
              <w:numPr>
                <w:ilvl w:val="0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OLE_LINK3"/>
            <w:r>
              <w:rPr>
                <w:rFonts w:hint="eastAsia" w:ascii="宋体" w:hAnsi="宋体" w:cs="宋体"/>
                <w:bCs/>
                <w:kern w:val="0"/>
                <w:sz w:val="24"/>
              </w:rPr>
              <w:t>与专项债项目申请</w:t>
            </w:r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</w:rPr>
              <w:t>有偏离、法规解析不明确、覆盖不全面（4-7分）；</w:t>
            </w:r>
          </w:p>
          <w:p w14:paraId="6A60A8A3">
            <w:pPr>
              <w:numPr>
                <w:ilvl w:val="0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与专项债项目申请无关、法规不适用、无法覆盖项目申请（0-3分）。</w:t>
            </w:r>
          </w:p>
        </w:tc>
      </w:tr>
      <w:tr w14:paraId="1A74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852" w:type="dxa"/>
            <w:noWrap w:val="0"/>
            <w:vAlign w:val="center"/>
          </w:tcPr>
          <w:p w14:paraId="1B9F2EE3">
            <w:pPr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阐述对本项目专项债申请的具体工作实施方案</w:t>
            </w:r>
          </w:p>
        </w:tc>
        <w:tc>
          <w:tcPr>
            <w:tcW w:w="900" w:type="dxa"/>
            <w:noWrap w:val="0"/>
            <w:vAlign w:val="center"/>
          </w:tcPr>
          <w:p w14:paraId="1FF9DA6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50分</w:t>
            </w:r>
          </w:p>
        </w:tc>
        <w:tc>
          <w:tcPr>
            <w:tcW w:w="7167" w:type="dxa"/>
            <w:noWrap w:val="0"/>
            <w:vAlign w:val="center"/>
          </w:tcPr>
          <w:p w14:paraId="77DE0A6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开展工作具体实施方案：</w:t>
            </w:r>
          </w:p>
          <w:p w14:paraId="33C6D0E1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方案契合本项目、思路清晰、切实可行、可操作实施（41-50分）；</w:t>
            </w:r>
          </w:p>
          <w:p w14:paraId="7D14BFC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方案较符合本项目、思路较清晰、操作实施难以落地（31-40分）；</w:t>
            </w:r>
          </w:p>
          <w:p w14:paraId="236CC695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方案与本项目不符、思路混乱、无法操作实施（0-30分）。</w:t>
            </w:r>
          </w:p>
        </w:tc>
      </w:tr>
    </w:tbl>
    <w:p w14:paraId="289D5A9C">
      <w:pPr>
        <w:jc w:val="center"/>
        <w:rPr>
          <w:b/>
          <w:bCs/>
          <w:sz w:val="28"/>
          <w:szCs w:val="28"/>
        </w:rPr>
      </w:pPr>
    </w:p>
    <w:p w14:paraId="19E2E7F1">
      <w:pPr>
        <w:pStyle w:val="3"/>
        <w:rPr>
          <w:rFonts w:hint="eastAsia"/>
        </w:rPr>
      </w:pPr>
    </w:p>
    <w:p w14:paraId="7328247C"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247" w:bottom="1247" w:left="1134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8553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579B171B">
    <w:pPr>
      <w:pStyle w:val="4"/>
      <w:wordWrap w:val="0"/>
      <w:jc w:val="right"/>
      <w:rPr>
        <w:rFonts w:hint="eastAsia" w:ascii="仿宋_GB2312" w:eastAsia="仿宋_GB231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FEC4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3C7C3736">
    <w:pPr>
      <w:pStyle w:val="4"/>
      <w:ind w:firstLine="560" w:firstLineChars="2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9459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12CE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2FBB4"/>
    <w:multiLevelType w:val="singleLevel"/>
    <w:tmpl w:val="AC92FB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C15F72"/>
    <w:multiLevelType w:val="singleLevel"/>
    <w:tmpl w:val="C8C15F7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DA9A401"/>
    <w:multiLevelType w:val="singleLevel"/>
    <w:tmpl w:val="0DA9A40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F08CD0"/>
    <w:multiLevelType w:val="singleLevel"/>
    <w:tmpl w:val="53F08C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仿宋_GB2312"/>
      <w:kern w:val="2"/>
      <w:sz w:val="32"/>
      <w:szCs w:val="20"/>
    </w:rPr>
  </w:style>
  <w:style w:type="paragraph" w:styleId="3">
    <w:name w:val="Body Text"/>
    <w:basedOn w:val="1"/>
    <w:next w:val="1"/>
    <w:qFormat/>
    <w:uiPriority w:val="99"/>
    <w:rPr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2025-06-19T09:09:45Z</dcterms:created>
  <dc:creator>HUAWEI</dc:creator>
  <cp:lastModifiedBy>蓝天</cp:lastModifiedBy>
  <dcterms:modified xsi:type="dcterms:W3CDTF">2025-06-19T09:10:11Z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eyJoZGlkIjoiNGY3MjczNTMxNWVmYThjODE3ZDA4MDY3ZWZkMWNiZjAiLCJ1c2VySWQiOiI2ODAyMTcxNDIifQ==</vt:lpwstr>
  </property>
  <property fmtid="{D5CDD505-2E9C-101B-9397-08002B2CF9AE}" pid="4" name="ICV">
    <vt:lpwstr>978BAF70A52648DB848C22C9CE1C3915_12</vt:lpwstr>
  </property>
</Properties>
</file>